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A32" w:rsidRPr="00F95A32" w:rsidRDefault="00F95A32" w:rsidP="00F95A32">
      <w:pPr>
        <w:rPr>
          <w:rFonts w:ascii="Times New Roman" w:eastAsia="Times New Roman" w:hAnsi="Times New Roman" w:cs="Times New Roman"/>
          <w:sz w:val="22"/>
          <w:szCs w:val="24"/>
          <w:lang w:eastAsia="cs-CZ"/>
        </w:rPr>
      </w:pPr>
      <w:r w:rsidRPr="00F95A32">
        <w:rPr>
          <w:rFonts w:ascii="Verdana" w:eastAsia="Times New Roman" w:hAnsi="Verdana" w:cs="Calibri"/>
          <w:bCs/>
          <w:lang w:eastAsia="cs-CZ"/>
        </w:rPr>
        <w:t xml:space="preserve">Příloha č. </w:t>
      </w:r>
      <w:r w:rsidR="00B22091">
        <w:rPr>
          <w:rFonts w:ascii="Verdana" w:eastAsia="Times New Roman" w:hAnsi="Verdana" w:cs="Calibri"/>
          <w:bCs/>
          <w:lang w:eastAsia="cs-CZ"/>
        </w:rPr>
        <w:t>15 Zadávací dokumentace/Smlouvy</w:t>
      </w:r>
      <w:bookmarkStart w:id="0" w:name="_GoBack"/>
      <w:bookmarkEnd w:id="0"/>
    </w:p>
    <w:p w:rsidR="00F95A32" w:rsidRPr="00F95A32" w:rsidRDefault="00F95A32" w:rsidP="00F95A32">
      <w:pPr>
        <w:spacing w:after="0" w:line="240" w:lineRule="auto"/>
        <w:jc w:val="center"/>
        <w:rPr>
          <w:rFonts w:ascii="Verdana" w:eastAsia="Times New Roman" w:hAnsi="Verdana" w:cs="Arial"/>
          <w:sz w:val="24"/>
          <w:szCs w:val="20"/>
          <w:lang w:eastAsia="cs-CZ"/>
        </w:rPr>
      </w:pPr>
    </w:p>
    <w:p w:rsidR="00F95A32" w:rsidRPr="00F95A32" w:rsidRDefault="00F95A32" w:rsidP="00F95A32">
      <w:pPr>
        <w:spacing w:after="0" w:line="240" w:lineRule="auto"/>
        <w:ind w:left="1068"/>
        <w:rPr>
          <w:rFonts w:ascii="Verdana" w:eastAsia="Times New Roman" w:hAnsi="Verdana" w:cs="Arial"/>
          <w:b/>
          <w:lang w:eastAsia="cs-CZ"/>
        </w:rPr>
      </w:pPr>
    </w:p>
    <w:p w:rsidR="00B22091" w:rsidRPr="003F2E13" w:rsidRDefault="00B22091" w:rsidP="00B22091">
      <w:pPr>
        <w:spacing w:line="240" w:lineRule="auto"/>
        <w:rPr>
          <w:b/>
        </w:rPr>
      </w:pPr>
      <w:r w:rsidRPr="003F2E13">
        <w:rPr>
          <w:b/>
        </w:rPr>
        <w:t>Nakládání s infekčním odpadem</w:t>
      </w:r>
    </w:p>
    <w:p w:rsidR="00B22091" w:rsidRPr="003F2E13" w:rsidRDefault="00B22091" w:rsidP="00B22091">
      <w:pPr>
        <w:spacing w:line="240" w:lineRule="auto"/>
        <w:rPr>
          <w:b/>
        </w:rPr>
      </w:pPr>
      <w:r w:rsidRPr="003F2E13">
        <w:rPr>
          <w:b/>
        </w:rPr>
        <w:t>Úvod</w:t>
      </w:r>
    </w:p>
    <w:p w:rsidR="00B22091" w:rsidRDefault="00B22091" w:rsidP="00B22091">
      <w:pPr>
        <w:spacing w:line="240" w:lineRule="auto"/>
      </w:pPr>
      <w:r>
        <w:t>V železničních stanicích a zastávkách jsou prostory přístupné cestující veřejnosti. Tyto prostory jsou vybaveny odpadkovými koši, které slouží k odkládání odpadu od cestující veřejnosti. V odpadkových koších, popř. i v jejich okolí, se mohou vyskytnout mj. i použité injekční jehly nebo jiné ostré předměty.</w:t>
      </w:r>
    </w:p>
    <w:p w:rsidR="00B22091" w:rsidRPr="003F2E13" w:rsidRDefault="00B22091" w:rsidP="00B22091">
      <w:pPr>
        <w:spacing w:line="240" w:lineRule="auto"/>
        <w:rPr>
          <w:b/>
        </w:rPr>
      </w:pPr>
      <w:r w:rsidRPr="003F2E13">
        <w:rPr>
          <w:b/>
        </w:rPr>
        <w:t>Infekční odpad</w:t>
      </w:r>
    </w:p>
    <w:p w:rsidR="00B22091" w:rsidRDefault="00B22091" w:rsidP="00B22091">
      <w:pPr>
        <w:spacing w:line="240" w:lineRule="auto"/>
      </w:pPr>
      <w:r>
        <w:t>S ohledem na ochranu zdraví zaměstnanců smluvních stran, které zajišťují úklid a manipulaci s odpadem, je třeba dbát zvýšené opatrnosti a předcházet možnému poranění používáním vhodných ochranných pracovních pomůcek (např. rukavice proti propíchnutí).</w:t>
      </w:r>
    </w:p>
    <w:p w:rsidR="00B22091" w:rsidRDefault="00B22091" w:rsidP="00B22091">
      <w:pPr>
        <w:spacing w:line="240" w:lineRule="auto"/>
      </w:pPr>
      <w:r>
        <w:t xml:space="preserve">Použité ostré předměty (injekční jehly) jsou zařazeny v souladu s vyhláškou č. 8/2021 Sb., o Katalogu odpadů, pod katalogové číslo odpadu 18 01 01 Ostré předměty (kromě čísla 18 01 03). Tomuto odpadu se přiřazuje kategorie „nebezpečný odpad“ vzhledem k možnosti šíření infekce. </w:t>
      </w:r>
    </w:p>
    <w:p w:rsidR="00B22091" w:rsidRPr="003F2E13" w:rsidRDefault="00B22091" w:rsidP="00B22091">
      <w:pPr>
        <w:spacing w:line="240" w:lineRule="auto"/>
        <w:rPr>
          <w:b/>
        </w:rPr>
      </w:pPr>
      <w:r w:rsidRPr="003F2E13">
        <w:rPr>
          <w:b/>
        </w:rPr>
        <w:t>Povinnosti zaměstnanců smluvních stran</w:t>
      </w:r>
    </w:p>
    <w:p w:rsidR="00B22091" w:rsidRDefault="00B22091" w:rsidP="00B22091">
      <w:pPr>
        <w:spacing w:line="240" w:lineRule="auto"/>
      </w:pPr>
      <w:r>
        <w:t xml:space="preserve">Při nakládání s infekčním odpadem je každý povinen chránit zdraví lidí a životního prostředí. Zaměstnanec, který zajišťuje úklid veřejně přístupných prostor pro cestující veřejnost, kde se může infekční odpad vyskytovat, je povinen používat při práci speciální ochranné rukavice proti </w:t>
      </w:r>
      <w:proofErr w:type="spellStart"/>
      <w:r>
        <w:t>propichu</w:t>
      </w:r>
      <w:proofErr w:type="spellEnd"/>
      <w:r>
        <w:t xml:space="preserve">. </w:t>
      </w:r>
    </w:p>
    <w:p w:rsidR="00B22091" w:rsidRPr="003F2E13" w:rsidRDefault="00B22091" w:rsidP="00B22091">
      <w:pPr>
        <w:spacing w:line="240" w:lineRule="auto"/>
        <w:rPr>
          <w:b/>
        </w:rPr>
      </w:pPr>
      <w:r w:rsidRPr="003F2E13">
        <w:rPr>
          <w:b/>
        </w:rPr>
        <w:t>Zacházení s infekčním odpadem</w:t>
      </w:r>
    </w:p>
    <w:p w:rsidR="00B22091" w:rsidRDefault="00B22091" w:rsidP="00B22091">
      <w:pPr>
        <w:spacing w:line="240" w:lineRule="auto"/>
      </w:pPr>
      <w:r>
        <w:t xml:space="preserve">Pevné nádoby pro nebezpečný odpad, např. pro ukládání ostrého odpadu, jako jsou jehly a jiný ostrý materiál, musí být pevné a </w:t>
      </w:r>
      <w:proofErr w:type="spellStart"/>
      <w:r>
        <w:t>nepropíchnutelné</w:t>
      </w:r>
      <w:proofErr w:type="spellEnd"/>
      <w:r>
        <w:t>. Musí umožňovat průběžné uzavírání nádoby a po naplnění a před dalším nakládáním pevné uzavření. Pevné nádoby jako prostředky určené pro jednotlivé druhy nebezpečného odpadu musí být z materiálu, kde lze vyloučit možnost jakéhokoliv mechanického poškození obalu. Nádoby na ostrý odpad mají splňovat normu ČSN EN ISO 23907(854002) Ochrana před poraněním ostrými předměty, která stanovuje přesné parametry pro zkoušky nádob tak, aby vyhovovaly použití pro tento druh odpadu a bylo eliminováno riziko před poraněním.</w:t>
      </w:r>
    </w:p>
    <w:p w:rsidR="00B22091" w:rsidRPr="003F2E13" w:rsidRDefault="00B22091" w:rsidP="00B22091">
      <w:pPr>
        <w:spacing w:line="240" w:lineRule="auto"/>
        <w:rPr>
          <w:b/>
        </w:rPr>
      </w:pPr>
      <w:r w:rsidRPr="003F2E13">
        <w:rPr>
          <w:b/>
        </w:rPr>
        <w:t>Postup při poranění injekční jehlou nebo ostrým předmětem</w:t>
      </w:r>
    </w:p>
    <w:p w:rsidR="00B22091" w:rsidRDefault="00B22091" w:rsidP="00B22091">
      <w:pPr>
        <w:spacing w:line="240" w:lineRule="auto"/>
      </w:pPr>
      <w:r>
        <w:t>Při poranění injekční jehlou je nutno postupovat následujícím způsobem:</w:t>
      </w:r>
    </w:p>
    <w:p w:rsidR="00B22091" w:rsidRDefault="00B22091" w:rsidP="00B22091">
      <w:pPr>
        <w:spacing w:line="240" w:lineRule="auto"/>
      </w:pPr>
      <w:r>
        <w:t>1. Injekční jehlu nebo ostrý předmět, který způsobil poranění, z rány šetrně vyjmout.</w:t>
      </w:r>
    </w:p>
    <w:p w:rsidR="00B22091" w:rsidRDefault="00B22091" w:rsidP="00B22091">
      <w:pPr>
        <w:spacing w:line="240" w:lineRule="auto"/>
      </w:pPr>
      <w:r>
        <w:t>2. Pokud rána krvácí, nechat spontánně krvácet alespoň 5 minut.</w:t>
      </w:r>
    </w:p>
    <w:p w:rsidR="00B22091" w:rsidRDefault="00B22091" w:rsidP="00B22091">
      <w:pPr>
        <w:spacing w:line="240" w:lineRule="auto"/>
      </w:pPr>
      <w:r>
        <w:t>3. Ránu nemačkat ani nevysávat.</w:t>
      </w:r>
    </w:p>
    <w:p w:rsidR="00B22091" w:rsidRDefault="00B22091" w:rsidP="00B22091">
      <w:pPr>
        <w:spacing w:line="240" w:lineRule="auto"/>
      </w:pPr>
      <w:r>
        <w:t>4. Ránu 5 -10 minut oplachovat pod tekoucí vodou a omývat mýdlem.</w:t>
      </w:r>
    </w:p>
    <w:p w:rsidR="00B22091" w:rsidRDefault="00B22091" w:rsidP="00B22091">
      <w:pPr>
        <w:spacing w:line="240" w:lineRule="auto"/>
      </w:pPr>
      <w:r>
        <w:t xml:space="preserve">5. Poté ránu ošetřit některým z běžných dezinfekčních prostředků, např. </w:t>
      </w:r>
      <w:proofErr w:type="spellStart"/>
      <w:r>
        <w:t>Jodisolem</w:t>
      </w:r>
      <w:proofErr w:type="spellEnd"/>
      <w:r>
        <w:t xml:space="preserve"> nebo 3% peroxidem vodíku.</w:t>
      </w:r>
    </w:p>
    <w:p w:rsidR="00B22091" w:rsidRDefault="00B22091" w:rsidP="00B22091">
      <w:pPr>
        <w:spacing w:line="240" w:lineRule="auto"/>
      </w:pPr>
      <w:r>
        <w:lastRenderedPageBreak/>
        <w:t>6. Krví potřísněné okolí rány omýt vodou a mýdlem.</w:t>
      </w:r>
    </w:p>
    <w:p w:rsidR="00B22091" w:rsidRDefault="00B22091" w:rsidP="00B22091">
      <w:pPr>
        <w:spacing w:line="240" w:lineRule="auto"/>
      </w:pPr>
      <w:r>
        <w:t>7. Ránu krýt obvazem, aby v případě pokračujícího krvácení nedošlo ke kontaminaci okolí či jiných osob.</w:t>
      </w:r>
    </w:p>
    <w:p w:rsidR="00B22091" w:rsidRDefault="00B22091" w:rsidP="00B22091">
      <w:pPr>
        <w:spacing w:line="240" w:lineRule="auto"/>
      </w:pPr>
      <w:r>
        <w:t>8. Injekční jehlu nebo jiný ostrý předmět, který zranění způsobil, uschovat v pevné schránce (obalu), aby nemohlo dojít k dalšímu krvavému poranění. V žádném případě neodhazovat do běžného odpadu, neboť musí být odstraněn ve zvláštním režimu, jako nebezpečný infekční odpad.</w:t>
      </w:r>
    </w:p>
    <w:p w:rsidR="00F95A32" w:rsidRPr="00F0533E" w:rsidRDefault="00B22091" w:rsidP="00B22091">
      <w:r>
        <w:t>9. Zraněného dopravit co nejdříve k lékařskému ošetření. Lékař zhodnotí, zda byl zachován standardní racionální postup primárního ošetření a rozhodne, zda poraněného odešle ke specialistovi na podrobnější vyšetření. Zraněný poskytne ošetřujícímu lékaři základní informace: datum a hodinu poranění, způsob ošetření rány, místo a způsob zranění, popis činnosti, při které k poranění došlo.</w:t>
      </w:r>
    </w:p>
    <w:sectPr w:rsidR="00F95A32" w:rsidRPr="00F0533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6B" w:rsidRDefault="0014126B" w:rsidP="00962258">
      <w:pPr>
        <w:spacing w:after="0" w:line="240" w:lineRule="auto"/>
      </w:pPr>
      <w:r>
        <w:separator/>
      </w:r>
    </w:p>
  </w:endnote>
  <w:endnote w:type="continuationSeparator" w:id="0">
    <w:p w:rsidR="0014126B" w:rsidRDefault="001412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09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2091">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594B8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65B52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F2962" w:rsidTr="00F1715C">
      <w:tc>
        <w:tcPr>
          <w:tcW w:w="1361" w:type="dxa"/>
          <w:tcMar>
            <w:left w:w="0" w:type="dxa"/>
            <w:right w:w="0" w:type="dxa"/>
          </w:tcMar>
          <w:vAlign w:val="bottom"/>
        </w:tcPr>
        <w:p w:rsidR="003F2962" w:rsidRPr="00B8518B" w:rsidRDefault="003F296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09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2091">
            <w:rPr>
              <w:rStyle w:val="slostrnky"/>
              <w:noProof/>
            </w:rPr>
            <w:t>2</w:t>
          </w:r>
          <w:r w:rsidRPr="00B8518B">
            <w:rPr>
              <w:rStyle w:val="slostrnky"/>
            </w:rPr>
            <w:fldChar w:fldCharType="end"/>
          </w:r>
        </w:p>
      </w:tc>
      <w:tc>
        <w:tcPr>
          <w:tcW w:w="3458" w:type="dxa"/>
          <w:shd w:val="clear" w:color="auto" w:fill="auto"/>
          <w:tcMar>
            <w:left w:w="0" w:type="dxa"/>
            <w:right w:w="0" w:type="dxa"/>
          </w:tcMar>
        </w:tcPr>
        <w:p w:rsidR="003F2962" w:rsidRDefault="003F2962" w:rsidP="0028568A">
          <w:pPr>
            <w:pStyle w:val="Zpat"/>
          </w:pPr>
          <w:r>
            <w:t>Správa železnic, státní organizace</w:t>
          </w:r>
        </w:p>
        <w:p w:rsidR="003F2962" w:rsidRDefault="003F2962" w:rsidP="0028568A">
          <w:pPr>
            <w:pStyle w:val="Zpat"/>
          </w:pPr>
          <w:r>
            <w:t>zapsána v obchodním rejstříku vedeném Městským soudem v Praze, spisová značka A 48384</w:t>
          </w:r>
        </w:p>
      </w:tc>
      <w:tc>
        <w:tcPr>
          <w:tcW w:w="2835" w:type="dxa"/>
          <w:shd w:val="clear" w:color="auto" w:fill="auto"/>
          <w:tcMar>
            <w:left w:w="0" w:type="dxa"/>
            <w:right w:w="0" w:type="dxa"/>
          </w:tcMar>
        </w:tcPr>
        <w:p w:rsidR="003F2962" w:rsidRDefault="003F2962" w:rsidP="0028568A">
          <w:pPr>
            <w:pStyle w:val="Zpat"/>
          </w:pPr>
          <w:r>
            <w:t>Sídlo: Dlážděná 1003/7, 110 00 Praha 1</w:t>
          </w:r>
        </w:p>
        <w:p w:rsidR="003F2962" w:rsidRDefault="003F2962" w:rsidP="0028568A">
          <w:pPr>
            <w:pStyle w:val="Zpat"/>
          </w:pPr>
          <w:r>
            <w:t>IČO: 709 94 234 DIČ: CZ 709 94 234</w:t>
          </w:r>
        </w:p>
        <w:p w:rsidR="003F2962" w:rsidRDefault="003F2962" w:rsidP="0028568A">
          <w:pPr>
            <w:pStyle w:val="Zpat"/>
          </w:pPr>
          <w:r w:rsidRPr="007B4EBD">
            <w:t>spravazeleznic.cz</w:t>
          </w:r>
        </w:p>
      </w:tc>
      <w:tc>
        <w:tcPr>
          <w:tcW w:w="2921" w:type="dxa"/>
        </w:tcPr>
        <w:p w:rsidR="003F2962" w:rsidRDefault="003F2962"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23016DD" wp14:editId="39EA0F9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EC208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3654F66" wp14:editId="40A3EE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C57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6B" w:rsidRDefault="0014126B" w:rsidP="00962258">
      <w:pPr>
        <w:spacing w:after="0" w:line="240" w:lineRule="auto"/>
      </w:pPr>
      <w:r>
        <w:separator/>
      </w:r>
    </w:p>
  </w:footnote>
  <w:footnote w:type="continuationSeparator" w:id="0">
    <w:p w:rsidR="0014126B" w:rsidRDefault="001412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B22091">
      <w:trPr>
        <w:trHeight w:hRule="exact" w:val="460"/>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8"/>
  </w:num>
  <w:num w:numId="17">
    <w:abstractNumId w:val="2"/>
  </w:num>
  <w:num w:numId="18">
    <w:abstractNumId w:val="8"/>
  </w:num>
  <w:num w:numId="19">
    <w:abstractNumId w:val="8"/>
  </w:num>
  <w:num w:numId="20">
    <w:abstractNumId w:val="8"/>
  </w:num>
  <w:num w:numId="21">
    <w:abstractNumId w:val="8"/>
  </w:num>
  <w:num w:numId="22">
    <w:abstractNumId w:val="4"/>
  </w:num>
  <w:num w:numId="23">
    <w:abstractNumId w:val="1"/>
  </w:num>
  <w:num w:numId="24">
    <w:abstractNumId w:val="4"/>
  </w:num>
  <w:num w:numId="25">
    <w:abstractNumId w:val="4"/>
  </w:num>
  <w:num w:numId="26">
    <w:abstractNumId w:val="4"/>
  </w:num>
  <w:num w:numId="27">
    <w:abstractNumId w:val="4"/>
  </w:num>
  <w:num w:numId="28">
    <w:abstractNumId w:val="8"/>
  </w:num>
  <w:num w:numId="29">
    <w:abstractNumId w:val="2"/>
  </w:num>
  <w:num w:numId="30">
    <w:abstractNumId w:val="8"/>
  </w:num>
  <w:num w:numId="31">
    <w:abstractNumId w:val="8"/>
  </w:num>
  <w:num w:numId="32">
    <w:abstractNumId w:val="8"/>
  </w:num>
  <w:num w:numId="3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72C1E"/>
    <w:rsid w:val="00082F47"/>
    <w:rsid w:val="000E23A7"/>
    <w:rsid w:val="0010693F"/>
    <w:rsid w:val="00114472"/>
    <w:rsid w:val="0014126B"/>
    <w:rsid w:val="001550BC"/>
    <w:rsid w:val="001605B9"/>
    <w:rsid w:val="00170EC5"/>
    <w:rsid w:val="001747C1"/>
    <w:rsid w:val="00184743"/>
    <w:rsid w:val="00207DF5"/>
    <w:rsid w:val="00280E07"/>
    <w:rsid w:val="002C31BF"/>
    <w:rsid w:val="002D08B1"/>
    <w:rsid w:val="002E0CD7"/>
    <w:rsid w:val="00341DCF"/>
    <w:rsid w:val="00357BC6"/>
    <w:rsid w:val="003956C6"/>
    <w:rsid w:val="003F2962"/>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0C3A"/>
    <w:rsid w:val="007F56A7"/>
    <w:rsid w:val="00807DD0"/>
    <w:rsid w:val="008659F3"/>
    <w:rsid w:val="00886D4B"/>
    <w:rsid w:val="00895406"/>
    <w:rsid w:val="008A3568"/>
    <w:rsid w:val="008D03B9"/>
    <w:rsid w:val="008F18D6"/>
    <w:rsid w:val="00904780"/>
    <w:rsid w:val="00922385"/>
    <w:rsid w:val="009223DF"/>
    <w:rsid w:val="00923DE9"/>
    <w:rsid w:val="00934DEC"/>
    <w:rsid w:val="00936091"/>
    <w:rsid w:val="00940D8A"/>
    <w:rsid w:val="00962258"/>
    <w:rsid w:val="009678B7"/>
    <w:rsid w:val="009833E1"/>
    <w:rsid w:val="00992D9C"/>
    <w:rsid w:val="00996CB8"/>
    <w:rsid w:val="009B14A9"/>
    <w:rsid w:val="009B2E97"/>
    <w:rsid w:val="009E07F4"/>
    <w:rsid w:val="009F392E"/>
    <w:rsid w:val="00A106E4"/>
    <w:rsid w:val="00A6177B"/>
    <w:rsid w:val="00A66136"/>
    <w:rsid w:val="00AA4CBB"/>
    <w:rsid w:val="00AA65FA"/>
    <w:rsid w:val="00AA7351"/>
    <w:rsid w:val="00AD056F"/>
    <w:rsid w:val="00AD6731"/>
    <w:rsid w:val="00B15D0D"/>
    <w:rsid w:val="00B22091"/>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B104F"/>
    <w:rsid w:val="00ED14BD"/>
    <w:rsid w:val="00ED5ECA"/>
    <w:rsid w:val="00F0533E"/>
    <w:rsid w:val="00F1048D"/>
    <w:rsid w:val="00F12DEC"/>
    <w:rsid w:val="00F1715C"/>
    <w:rsid w:val="00F310F8"/>
    <w:rsid w:val="00F35939"/>
    <w:rsid w:val="00F45607"/>
    <w:rsid w:val="00F5558F"/>
    <w:rsid w:val="00F659EB"/>
    <w:rsid w:val="00F86BA6"/>
    <w:rsid w:val="00F95A32"/>
    <w:rsid w:val="00FC228C"/>
    <w:rsid w:val="00FC6389"/>
    <w:rsid w:val="00FE7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DD864D"/>
  <w14:defaultImageDpi w14:val="32767"/>
  <w15:docId w15:val="{F087C6D2-3500-4C57-8910-034F3E98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15D6AD1-E624-4281-90BF-3F9AD4172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2788</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Zajíčková Veronika, Mgr.</dc:creator>
  <cp:lastModifiedBy>Zajíčková Veronika, Mgr.</cp:lastModifiedBy>
  <cp:revision>2</cp:revision>
  <cp:lastPrinted>2017-11-28T17:18:00Z</cp:lastPrinted>
  <dcterms:created xsi:type="dcterms:W3CDTF">2022-10-05T10:56:00Z</dcterms:created>
  <dcterms:modified xsi:type="dcterms:W3CDTF">2022-10-05T10:56:00Z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